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РОССИЙСКАЯ ФЕДЕРАЦИЯ</w:t>
      </w:r>
    </w:p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КАРАЧАЕВО-ЧЕРКЕССКАЯ РЕСПУБЛИКА</w:t>
      </w:r>
    </w:p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ЗЕЛЕНЧУКСКИЙ МУНИИЦПАЛЬНЫЙ РАЙОН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АДМИНИСТРАЦИЯ ЗЕЛЕНЧУКСКОГО СЕЛЬСКОГО ПОСЕЛЕНИЯ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ПОСТАНОВЛЕНИЕ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4919C9" w:rsidRDefault="00AD65AC" w:rsidP="00AD65A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20.03.2013 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                             </w:t>
      </w:r>
      <w:proofErr w:type="spellStart"/>
      <w:r w:rsidR="004919C9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ст-ца</w:t>
      </w:r>
      <w:proofErr w:type="spellEnd"/>
      <w:r w:rsidR="004919C9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Зеленчукская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                   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 xml:space="preserve">      №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</w:r>
      <w:r w:rsidR="004A55EF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51</w:t>
      </w: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</w:t>
      </w:r>
      <w:r w:rsidR="00366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Правил проведения открытого конкурса </w:t>
      </w: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отбору управляющей организации для управления многоквартирным домом и состава комиссии</w:t>
      </w:r>
    </w:p>
    <w:p w:rsidR="004919C9" w:rsidRDefault="004919C9" w:rsidP="004919C9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9C9" w:rsidRDefault="004919C9" w:rsidP="004919C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Зеленчукского сельского поселения,</w:t>
      </w:r>
    </w:p>
    <w:p w:rsidR="004919C9" w:rsidRDefault="004919C9" w:rsidP="004919C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ПОСТАНОВЛЯЮ:</w:t>
      </w:r>
    </w:p>
    <w:p w:rsidR="004919C9" w:rsidRDefault="004919C9" w:rsidP="004919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Образовать постоянно действующую конкурсную комиссию по проведению открытого конкурса по отбору управляющей организации для управления многоквартирным домом (д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алее — конкурсная комиссия).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2.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Утвердить состав конкурс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ной комиссии (приложение 1).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3.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Утвердить Положение о конкурсной комиссии по проведению открытых конкурсов по отбору управляющей организации для управления мн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огоквартирным домом (приложение 2).</w:t>
      </w:r>
    </w:p>
    <w:p w:rsidR="00A775FC" w:rsidRDefault="00A775FC" w:rsidP="00A7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правила проведения открытого конкурса по отбору управляющей организации для управления многоквартирным домом (приложение 3)</w:t>
      </w:r>
    </w:p>
    <w:p w:rsidR="004919C9" w:rsidRDefault="004919C9" w:rsidP="0049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И.О.ГЛАВЫ АДМИНИСТРАЦИИ</w:t>
      </w:r>
    </w:p>
    <w:p w:rsidR="004919C9" w:rsidRDefault="004919C9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КАЗИЕВ В.Т.</w:t>
      </w: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C317A" w:rsidRDefault="004919C9" w:rsidP="008111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</w:t>
      </w:r>
    </w:p>
    <w:p w:rsidR="004919C9" w:rsidRPr="004919C9" w:rsidRDefault="004919C9" w:rsidP="008111A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(приложение 1)</w:t>
      </w:r>
    </w:p>
    <w:p w:rsidR="004919C9" w:rsidRPr="004204B6" w:rsidRDefault="004919C9" w:rsidP="0048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конкурсной комиссии</w:t>
      </w:r>
      <w:r w:rsidRPr="00420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проведению открытого конкурса по отбору управляющей организации для управления многоквартирным домом</w:t>
      </w:r>
    </w:p>
    <w:p w:rsidR="00486007" w:rsidRPr="001233D1" w:rsidRDefault="00486007" w:rsidP="0048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111A8" w:rsidRPr="004919C9" w:rsidRDefault="008111A8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8111A8" w:rsidRPr="004204B6" w:rsidRDefault="008111A8" w:rsidP="00811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КАЗИЕВ ВЛАДИМИР</w:t>
      </w:r>
    </w:p>
    <w:p w:rsidR="004919C9" w:rsidRDefault="008111A8" w:rsidP="008111A8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ТАУБИЕВИЧ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Исполняющий обязанности Главы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председатель конкурсной комиссии;</w:t>
      </w:r>
    </w:p>
    <w:p w:rsidR="004204B6" w:rsidRPr="004204B6" w:rsidRDefault="004204B6" w:rsidP="008111A8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111A8" w:rsidRPr="004919C9" w:rsidRDefault="008111A8" w:rsidP="008111A8">
      <w:pPr>
        <w:spacing w:after="0" w:line="240" w:lineRule="auto"/>
        <w:ind w:left="2190" w:hanging="21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111A8" w:rsidRPr="004204B6" w:rsidRDefault="008111A8" w:rsidP="00811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</w:t>
      </w:r>
      <w:r w:rsidR="00AD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НЕНКО ЛЮДМИЛА</w:t>
      </w:r>
    </w:p>
    <w:p w:rsidR="00211BF3" w:rsidRDefault="00AD65AC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ПАВЛОВНА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— начальник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финансового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заместитель председателя 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конкурсной комиссии;</w:t>
      </w:r>
    </w:p>
    <w:p w:rsidR="004204B6" w:rsidRPr="004204B6" w:rsidRDefault="004204B6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1BF3" w:rsidRDefault="00211BF3" w:rsidP="00211BF3">
      <w:pPr>
        <w:spacing w:after="0" w:line="240" w:lineRule="auto"/>
        <w:ind w:left="2190" w:hanging="21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11BF3" w:rsidRPr="004204B6" w:rsidRDefault="00211BF3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МИХАЙЛОВСКАЯ ИННА</w:t>
      </w:r>
    </w:p>
    <w:p w:rsidR="004919C9" w:rsidRPr="004204B6" w:rsidRDefault="00211BF3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ЮРЬЕВНА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секретарь конкурсной комиссии;</w:t>
      </w:r>
    </w:p>
    <w:p w:rsidR="00211BF3" w:rsidRDefault="00211BF3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6007" w:rsidRDefault="00486007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Pr="004919C9" w:rsidRDefault="00211BF3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</w:t>
      </w:r>
      <w:r w:rsidR="004919C9" w:rsidRPr="00491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лены конкурсной комиссии</w:t>
      </w:r>
      <w:r w:rsidR="004919C9"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211BF3" w:rsidRPr="004204B6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АКБАЕВ СОЛТАН</w:t>
      </w:r>
    </w:p>
    <w:p w:rsidR="004919C9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АУБЕКИРОВИЧ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— специалист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Pr="004204B6" w:rsidRDefault="004204B6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1BF3" w:rsidRPr="004204B6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C4A" w:rsidRPr="004204B6" w:rsidRDefault="00327C4A" w:rsidP="00327C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САЛПАГАРОВ </w:t>
      </w:r>
    </w:p>
    <w:p w:rsidR="001233D1" w:rsidRPr="004204B6" w:rsidRDefault="00327C4A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АНВЕР АЛИЕВИЧ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главный специалист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Зеленчукского </w:t>
      </w:r>
      <w:proofErr w:type="gramStart"/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proofErr w:type="gramEnd"/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19C9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7C4A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P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C4A" w:rsidRPr="004204B6" w:rsidRDefault="00327C4A" w:rsidP="00327C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3D1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ЛАФИШЕВ ДАНИЭЛЬ</w:t>
      </w:r>
    </w:p>
    <w:p w:rsidR="004919C9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депутат </w:t>
      </w:r>
      <w:r w:rsidR="00E25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04B6" w:rsidRP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3D1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932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КАЗАКОВ </w:t>
      </w:r>
      <w:r w:rsidR="008C7932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АЛЬБЕРТ</w:t>
      </w:r>
    </w:p>
    <w:p w:rsidR="004919C9" w:rsidRPr="004204B6" w:rsidRDefault="008C7932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96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996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96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БИЕВИЧ</w:t>
      </w:r>
      <w:r w:rsidR="001233D1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депутат </w:t>
      </w:r>
      <w:r w:rsidR="00E25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="001233D1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Зеленчукского сельского поселения*.</w:t>
      </w:r>
    </w:p>
    <w:p w:rsidR="00486007" w:rsidRDefault="00486007" w:rsidP="001233D1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486007" w:rsidRPr="001233D1" w:rsidRDefault="00486007" w:rsidP="001233D1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4919C9" w:rsidRP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</w:t>
      </w: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*По согласованию</w:t>
      </w: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6B13" w:rsidRDefault="00996B13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6B13" w:rsidRDefault="00996B13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6B13" w:rsidRDefault="00996B13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A55EF" w:rsidRDefault="004A55EF" w:rsidP="0048600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86007" w:rsidRPr="004919C9" w:rsidRDefault="00486007" w:rsidP="0048600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(приложение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1233D1" w:rsidRDefault="001233D1" w:rsidP="0048600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Pr="004919C9" w:rsidRDefault="004919C9" w:rsidP="0048600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ПОЛОЖЕНИЕ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  <w:t>о конкурсной комиссии по проведению открытых конкурсов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  <w:t>по отбору управляющей организации для управления многоквартирным домом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</w:r>
    </w:p>
    <w:p w:rsidR="004919C9" w:rsidRPr="00486007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86007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1. Общие положения</w:t>
      </w:r>
    </w:p>
    <w:p w:rsidR="004919C9" w:rsidRPr="004C317A" w:rsidRDefault="004919C9" w:rsidP="004860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Настоящее Положение определяет понятие, цели создания, функции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состав и порядок деятельности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конкурсной комиссии по проведению конкурсов по отбору управля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ющей организации для управления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многоквартирным домом (далее — конкурсная комиссия).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1.2.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Конкурсная комиссия в своей деятельности руков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одствуется Гражданским кодексом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Федерации,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федеральными законами, нормативными актами Правительства Российской Федерации и настоящим Положением.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1.3.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1.4. Конкурсная комиссия является постоянно действующим коллегиальным органом. Срок полномочий конкурсной комиссии не может превышать 2 лет.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1.5. Конкурсная комиссия состоит из председателя, заместителя председателя, секретаря и членов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1.6.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Задачи и функции конкурсной комиссии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Основными задачами конкурсной комиссии являются: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рассмотрение заявок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проведение конкурса.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2.2. В соответствии с возложенными задачами конкурсная комиссия осуществляет следующие функции: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осуществление процедуры вскрытия конвертов с заявками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оценка заявок на участие в конкурсе на соответствие требованиям, установленным конкурсной документацией;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оценка заявок на участие в конкурсе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 управления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многоквартирным домом, утвержденных постановлением Правительства Российской Федерации от 06.02.2006 № 75;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принятие решений о признании претендента участником конкурса или об отказе в допуске претендента к участию в конкурсе;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ведение протокола вскрытия конвертов с заявками на участие в конкурсе, протокола рассмотрения заявок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ведение протокола конкурса по отбору управляющей организации для управления многоквартирным домом;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определение победителей конкурса.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Полномочия членов конкурсной комиссии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Члены конкурсной комиссии обладают равными правами при рассмотрении вопросов, связанных с осуществлением возложенных на комиссию функций. Члены конкурсной комиссии вправе:</w:t>
      </w:r>
      <w:bookmarkStart w:id="1" w:name="sub_35"/>
      <w:bookmarkEnd w:id="1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подготовке заседаний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предварительно, до заседания комиссии, знакомиться с вопросами, вносимыми на рассмотрение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обсуждении рассматриваемых комиссией вопросов и вносить по ним предложения;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голосовании при принятии решений по рассматриваемым комиссией вопросам.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3.2.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руководство деятельностью конкурсной комиссии и обеспечивает выполнение настоящего Положения;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председательствует на заседаниях конкурсной комиссии и организует ее работу;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заседание правомочным или выносит решение о его переносе из-за отсутствия необходимого количества членов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утверждает повестку каждого заседания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назначает заседания конкурсной комиссии;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открывает и ведет заседания конкурсной комиссии, объявляет перерывы;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состав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случае необходимости выносит на обсуждение конкурсной комиссии вопрос о привлечении к работе комиссии экспертов;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подписывает протоколы заседаний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победителя конкурса;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несет персональную ответственность за деятельность конкурсной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3.3. Заместитель председателя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организует предварительную подготовку вопросов, подлежащих рассмотрению на заседаниях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выполняет поручения председателя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исполняет обязанности председателя конкурсной комиссии в его отсутствие или при невозможности выполнения им своих обязанностей.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3.4. Секретарь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подготовку вопросов, подлежащих рассмотрению на заседаниях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выполняет поручения председателя конкурсной комиссии, его заместителя;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техническое обслуживание работы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ведет делопроизводство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подготовку и оформление протоколов заседаний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оповещает членов конкурсной комиссии и лиц, участвующих в заседаниях комиссии, о времени, месте и дате проведения заседания конкурсной комиссии.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Заседания конкурсной комиссии и порядок принятия решений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Формой работы конкурсной комиссии является заседание.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4.2. Секретарь конкурсной комиссии по поручению председателя или заместителя председателя конкурсной комиссии не менее чем за 3 рабочих дня оповещает ее членов о времени и месте проведения заседания, вопросах, выносимых на рассмотрение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4.3. Заседания конкурсной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4.4. Заседания конкурсной комиссии считаются правомочными, если на них присутствуют более 50 процентов общего числа ее членов.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общественных объединений потребителей (их ассоциаций, союзов), действующих на территории 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Зеленчукского сельского поселения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претенденты, участники конкурса или их представители, а также представители средств массовой информации. Полномочия представителей подтверждаются документально.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4.5. Решения конкурсной комиссии принимаются простым большинством голосов членов конкурсной комиссии, принявших участие в заседании. Каждый член конкурсной комиссии имеет один голос. При равенстве голосов решение принимается председателем конкурсной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4.6.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4.7. Организационно-техническое и информационное обеспечение деятельности конкурсной комиссии осуществляется организатором конкурса.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4.8. Решения конкурсной комиссии могут быть обжалованы в установленном законодательством порядке.</w:t>
      </w:r>
    </w:p>
    <w:p w:rsidR="00764D22" w:rsidRDefault="00764D22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C75F83" w:rsidRDefault="00C75F83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(Приложение 3)</w:t>
      </w:r>
    </w:p>
    <w:p w:rsid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УТВЕРЖДЕНЫ</w:t>
      </w:r>
    </w:p>
    <w:p w:rsid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П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Зеленчукского сельского поселения </w:t>
      </w:r>
    </w:p>
    <w:p w:rsid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Зеленчукского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20.03.2013г.  № 51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ПРАВИЛА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проведения открытого конкурса по отбору управляющей организации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управления многоквартирным домом</w:t>
      </w:r>
    </w:p>
    <w:p w:rsidR="004A55EF" w:rsidRPr="004A55EF" w:rsidRDefault="004A55EF" w:rsidP="004A55E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торгов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открытый конкурс.</w:t>
      </w:r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право заключения договора управления многоквартирным домом, расположенным на территории Зеленчукского сельского поселения Зеленчукского муниципального района. 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Зеленчукского сельского поселения Зеленчукского муниципального района.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300" w:lineRule="exac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Комиссия по размещению заказа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конкурсная комиссия по проведению открытого конкурса по отбору управляющей организации для управления многоквартирным домом - коллегиальный орган, созданный на постоянной основе постановлением администрации Зеленчукского сельского поселения Зеленчукского муниципального района № 51  от 20 марта 2013 года «Об утверждении Положения о конкурсной комиссии по отбору управляющей организации для управления многоквартирным домом и состава комиссии», расположенным на территории Зеленчукского сельского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Зеленчукского муниципального района».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300" w:lineRule="exac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Участники конкурса: </w:t>
      </w:r>
      <w:r w:rsidRPr="004A55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претендент, допущенный конкурсной комиссией к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участию в конкурсе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Start w:id="2" w:name="_Ref119427085"/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bookmarkEnd w:id="2"/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Общие требования  к претендентам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конкурса устанавливаются следующие требования к претендентам на участие в конкурсе: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обжаловал наличие указанной задолженности в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соответствии с законодательством Российской Федерации и решение по такой жалобе не вступило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силу;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6) внесение претендентом на счет, указанный в конкурсной документации,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установления фактов несоответствия участника конкурса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к претендентам, установленным в настоящем разделе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предоставления и разъяснения положений и внесение изменений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конкурсную документацию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2 рабочих дня до даты окончания срока подачи заявок на участие в конкурсе.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 рабочего дня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направления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принятия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720"/>
          <w:tab w:val="left" w:pos="1080"/>
          <w:tab w:val="left" w:pos="1836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Ref119429503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Обеспечение заявок на участие в конкурсе</w:t>
      </w:r>
      <w:bookmarkEnd w:id="3"/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претендент, подающий заявку на участие в конкурсе, вносит средства на счет: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Pr="004A55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40302810400003000032 в ГРКЦ НБ РФ по КЧР г. Черкесск (администрация Зеленчукского сельского поселения, л/с 05793003810) ИНН 0901023652 КПП 090101001                БИК 049133001.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Плата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обеспечение заявки на участие в открытом конкурсе по отбору управляющей организации для управления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многоквартирным домом на территории Зеленчукского сельского поселения Зеленчукского муниципального района.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внесения претендентом денежных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ачестве обеспечения заявки на участие в конкурсе подтверждается платежным поручением (квитанцией в случае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наличной формы оплаты) с отметкой банка об оплате. 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подачи заявок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Заинтересованное лицо подает заявку на участие в конкурсе в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согласно приложению № 1 к настоящим правилам. Одно лицо вправе подать в отношении одного лота только одну заявку.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включает в себя: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сведения и документы о претенденте: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наименование, организационно-правовую форму, место нахождения, почтовый адрес - для юридического лица;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телефона;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Единого государственного реестра юридических лиц - для юридического лица;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подтверждающие внесение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копию документов, подтверждающих соответствие претендента требованию, установленному подпунктом 1 </w:t>
      </w:r>
      <w:hyperlink r:id="rId7" w:history="1">
        <w:r w:rsidRPr="004A5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пункта 15</w:t>
        </w:r>
      </w:hyperlink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утвержденного бухгалтерского баланса за последний отчетный период;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требованию претендента организатор конкурса выдает расписку о получении такой заявки по форме согласно </w:t>
      </w:r>
      <w:r w:rsidRPr="004A55EF">
        <w:rPr>
          <w:rFonts w:ascii="Times New Roman" w:eastAsia="Times New Roman" w:hAnsi="Times New Roman" w:cs="Times New Roman"/>
          <w:bCs/>
          <w:color w:val="008000"/>
          <w:sz w:val="24"/>
          <w:szCs w:val="24"/>
          <w:u w:val="single"/>
          <w:lang w:eastAsia="ar-SA"/>
        </w:rPr>
        <w:t>приложению № 2.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Претендент вправе изменить или отозвать заявку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организатором конкурса уведомления об отзыве заявки.</w:t>
      </w:r>
    </w:p>
    <w:p w:rsidR="004A55EF" w:rsidRPr="004A55EF" w:rsidRDefault="004A55EF" w:rsidP="004A55EF">
      <w:pPr>
        <w:widowControl w:val="0"/>
        <w:tabs>
          <w:tab w:val="left" w:pos="0"/>
          <w:tab w:val="left" w:pos="720"/>
          <w:tab w:val="left" w:pos="1080"/>
          <w:tab w:val="left" w:pos="1307"/>
        </w:tabs>
        <w:suppressAutoHyphens/>
        <w:spacing w:after="0" w:line="30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вскрытия конвертов.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Порядок вскрытия конвертов с заявками на участие в конкурсе </w:t>
      </w: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0"/>
          <w:tab w:val="left" w:pos="1836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4" w:name="_Ref119429700"/>
      <w:r w:rsidRPr="004A55EF">
        <w:rPr>
          <w:rFonts w:ascii="Times New Roman" w:eastAsia="Times New Roman" w:hAnsi="Times New Roman" w:cs="Times New Roman"/>
          <w:sz w:val="24"/>
          <w:szCs w:val="20"/>
          <w:lang w:eastAsia="ar-SA"/>
        </w:rPr>
        <w:t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 конкурсной комиссией вскрываются конверты с заявками на участие в конкурсе</w:t>
      </w:r>
      <w:r w:rsidRPr="004A55E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bookmarkEnd w:id="4"/>
    </w:p>
    <w:p w:rsidR="004A55EF" w:rsidRPr="004A55EF" w:rsidRDefault="004A55EF" w:rsidP="004A55EF">
      <w:pPr>
        <w:widowControl w:val="0"/>
        <w:tabs>
          <w:tab w:val="left" w:pos="0"/>
          <w:tab w:val="left" w:pos="720"/>
          <w:tab w:val="left" w:pos="1080"/>
          <w:tab w:val="left" w:pos="1307"/>
        </w:tabs>
        <w:suppressAutoHyphens/>
        <w:spacing w:after="0" w:line="30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комиссия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 начала процедуры вскрытия конвертов.</w:t>
      </w:r>
      <w:proofErr w:type="gramEnd"/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Комиссией вскрываются конверты с заявками на участие в конкурсе, которые поступили до времени вскрытия заявок на участие в конкурсе.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Объявляются при вскрытии конвертов с заявками участников конкурса и заносятся в протокол вскрытия  наименование (для юридического лица), фамилия, имя, отчество (для индивидуального предпринимателя) каждого участника конкурса,  сведения и информация о наличии документов, предусмотренных конкурсной документацией. 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Порядок рассмотрения заявок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входящими в состав предмета конкурса.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представления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организатору конкурса подписанного им проекта договора управления многоквартирными домами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многоквартирными домами, а также обеспечения исполнения обязательств такой участник конкурса признается уклонившимся от заключения договора управления многоквартирными домами и средства, внесенные им  в качестве обеспечения заявки на участие в конкурсе, не возвращаются.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Порядок проведения конкурса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участник конкурса отказался выполнить, данные требования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Заключение договора управления многоквартирным домом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конкурса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конкурса в течение 10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конкурса в течение 20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Средства, внесенные 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представления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организатору конкурса подписанного победителем конкурса проекта договора управления многоквартирными домами и обеспечения исполнения обязательств.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Порядок проведения осмотров претендентами и другими заинтересованными лицами объекта конкурса и график проведения таких осмотров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в период со дня опубликования извещения и не позднее, чем за 2 рабочих дня до даты окончания срока подачи заявок на участие в конкурсе, организует проведение осмотра претендентами и другими заинтересованными лицами объекта конкурса.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Осмотры объектов конкурса в соответствии с графиком проведения осмотров.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от претендентов и других заинтересованных лиц принимаются за день до проведения осмотра до 15.00 часов по адресу: Зеленчукский район,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еленчукская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Мира, 19 телефон 8(87878) 5-21-77.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Осмотр объектов конкурса осуществляется в присутствии представителя организатора конкурса.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 проведения осмотров объекта конкурса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548"/>
        <w:gridCol w:w="1800"/>
        <w:gridCol w:w="1620"/>
        <w:gridCol w:w="1620"/>
        <w:gridCol w:w="2570"/>
      </w:tblGrid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 осмотра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Ответственное лицо</w:t>
            </w:r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</w:tbl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Срок внесения собственниками помещений в многоквартирном доме платы за содержание и ремонт жилого помещения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за содержание и ремонт жилого помещения вносится на основании платежных документов, представленных не позднее десятого числа месяца, следующего за истекшим месяцем.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Требования к порядку изменения обязатель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ств ст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орон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договору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Срок начала выполнения управляющей организацией возникших по результатам конкурса обязательств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Управляющая организация обязана приступить к выполнению возникших по результатам конкурса обязательств не позднее чем через тридцать дней со дня подписания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Размер и срок предоставления обеспечения исполнения обязательств,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обеспечения обязательств – в течение 10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конкурса. При непредставлении организатору конкурса в указанный срок обеспечения исполнения обязательств такой участник конкурса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обеспечения исполнения обязательств устанавливается в размере одной второй цены договора управления многоквартирными домами, подлежащей уплате собственниками помещений в течение месяца.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причинения управляющей организацией вреда общему имуществу.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16. Формы и способы осуществления собственниками помещений 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многоквартирном 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доме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контроля за выполнением управляющей организацией ее обязательств по договорам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Управляющая организация обязана:</w:t>
      </w:r>
    </w:p>
    <w:p w:rsidR="004A55EF" w:rsidRPr="004A55EF" w:rsidRDefault="004A55EF" w:rsidP="004A55EF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4A55EF" w:rsidRPr="004A55EF" w:rsidRDefault="004A55EF" w:rsidP="004A55EF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отчет о выполнении договора управления многоквартирным домом в помещении управляющей организации, а также на досках объявлений, находящихся в подъездах многоквартирного дома или в пределах земельного участка, на котором расположен многоквартирный дом управляющей организации,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 местного самоуправления, уполномоченными контролировать деятельность, осуществляемую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управляющими организациями.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Собственники помещений в многоквартирном доме вправе: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Осуществлять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управляющей организацией ее обязательств по договору, в ходе которого участвовать в осмотрах 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договору.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привлекать для контроля качества выполняемых работ и предоставляемых услуг по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помещения в многоквартирном доме за 15 дней до окончания срока действия договора управления многоквартирным домом вправе ознакомиться с ежегодным письменным отчетом о выполнении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17. Срок действия договоров управления многоквартирным домом, а также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продления срока действия указанных договоров на 3 месяца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договора управления многоквартирным домом – три года.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договора продляется на  3 месяца, если: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 ступила к их выполнению;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правилам проведения открытого конкурса по выбору управляющей </w:t>
      </w:r>
    </w:p>
    <w:p w:rsid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многоквартирными домами</w:t>
      </w:r>
    </w:p>
    <w:p w:rsidR="004A55EF" w:rsidRPr="004A55EF" w:rsidRDefault="004A55EF" w:rsidP="004A55EF">
      <w:pPr>
        <w:suppressAutoHyphens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4A55EF" w:rsidRPr="004A55EF" w:rsidRDefault="004A55EF" w:rsidP="004A55EF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участие в конкурсе по отбору управляющей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организации для управления многоквартирным домом</w:t>
      </w:r>
    </w:p>
    <w:p w:rsidR="004A55EF" w:rsidRPr="004A55EF" w:rsidRDefault="004A55EF" w:rsidP="004A55E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Заявление об участии в конкурсе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(организационно-правовая форма, наименование/фирменное наименование организации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или </w:t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физического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лица, данные документа, удостоверяющего личность)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нахождения, почтовый адрес организации или место жительства индивидуального предпринимателя)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(номер телефона)</w:t>
      </w: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по адресу: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многоквартирного дома)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банковского счета)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Предложения претендента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условиям договора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(описание предлагаемого претендентом в качестве условия договора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управления многоквартирным домом способа внесения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собственниками помещений в многоквартирном доме и нанимателями жилых помещений по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договору социального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найма и договору найма жилых помещений государственного или муниципального жилищного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фонда платы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за содержание и ремонт жилого 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помещения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коммунальные услуги)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банковского счета претендента)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заявке прилагаются следующие документы: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 документы, подтверждающие внесение денежных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5) утвержденный бухгалтерский баланс за последний год: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перечни обязательных и дополнительных работ и услуг по содержанию и ремонту общего имущества собственников помещений в многоквартирных жилых домах, являющихся объектами конкурса по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ЛОТам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 на ______- листах.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(должность,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руководителя организации или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4A55EF" w:rsidRPr="004A55EF" w:rsidTr="004A55EF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5EF" w:rsidRPr="004A55EF" w:rsidTr="004A55EF">
        <w:tc>
          <w:tcPr>
            <w:tcW w:w="2580" w:type="dxa"/>
            <w:gridSpan w:val="5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4A55EF" w:rsidRPr="004A55EF" w:rsidTr="004A55EF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A55EF" w:rsidRPr="004A55EF" w:rsidRDefault="004A55EF" w:rsidP="004A55EF">
      <w:pPr>
        <w:suppressAutoHyphens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spacing w:before="360"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правилам проведения открытого конкурса по выбору управляющей </w:t>
      </w:r>
    </w:p>
    <w:p w:rsid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многоквартирными домами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РАСПИСКА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получении заявки на участие в конкурсе по отбору управляющей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для управления многоквартирными домами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расписка выдана претенденту 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организации или </w:t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индивидуального предпринимателя)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6.02.2006 г. № 75,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организатора конкурса)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_____________________________________________________________________________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многоквартирных домов)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зарегистрирована «__» ______________ 20__ год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документа, в котором регистрируется заявка)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номером 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Лицо,  уполномоченное организатором конкурса принимать заявки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_____________________________________________________</w:t>
      </w: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(подпись)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«__»_________________ _________ год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C317A" w:rsidRDefault="004A55EF">
      <w:pPr>
        <w:rPr>
          <w:rFonts w:ascii="Times New Roman" w:hAnsi="Times New Roman" w:cs="Times New Roman"/>
          <w:sz w:val="26"/>
          <w:szCs w:val="26"/>
        </w:rPr>
      </w:pPr>
    </w:p>
    <w:sectPr w:rsidR="004A55EF" w:rsidRPr="004C317A" w:rsidSect="008C7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9"/>
    <w:rsid w:val="001233D1"/>
    <w:rsid w:val="00211BF3"/>
    <w:rsid w:val="00327C4A"/>
    <w:rsid w:val="0036662C"/>
    <w:rsid w:val="004204B6"/>
    <w:rsid w:val="00486007"/>
    <w:rsid w:val="004919C9"/>
    <w:rsid w:val="004A55EF"/>
    <w:rsid w:val="004C317A"/>
    <w:rsid w:val="00764D22"/>
    <w:rsid w:val="008111A8"/>
    <w:rsid w:val="008C7932"/>
    <w:rsid w:val="00996B13"/>
    <w:rsid w:val="00A775FC"/>
    <w:rsid w:val="00AD65AC"/>
    <w:rsid w:val="00C75F83"/>
    <w:rsid w:val="00E252B1"/>
    <w:rsid w:val="00E41C8C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DDB703A49637D8716E5E60E25A6B1D64C83AAEFE2F4E45969551606547A5271808F6E55118C3KCd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D01-B77B-43E6-9EC2-43A466C5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2013-07-18T11:36:00Z</cp:lastPrinted>
  <dcterms:created xsi:type="dcterms:W3CDTF">2013-03-18T10:22:00Z</dcterms:created>
  <dcterms:modified xsi:type="dcterms:W3CDTF">2013-07-18T11:36:00Z</dcterms:modified>
</cp:coreProperties>
</file>